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Created by docx4j 8.0.0 (Apache licensed) using REFERENCE JAXB in Eclipse Adoptium Java 17.0.8.1 on Linux -->
    <w:p>
      <w:pPr>
        <w:pStyle w:val="TitleStyle"/>
      </w:pPr>
      <w:r>
        <w:t>Procedura "Niebieskie Karty" oraz wzory formularzy "Niebieska Karta".</w:t>
      </w:r>
    </w:p>
    <w:p>
      <w:pPr>
        <w:pStyle w:val="NormalStyle"/>
      </w:pPr>
      <w:r>
        <w:t>Dz.U.2023.1870 z dnia 2023.09.13</w:t>
      </w:r>
    </w:p>
    <w:p>
      <w:pPr>
        <w:pStyle w:val="NormalStyle"/>
      </w:pPr>
      <w:r>
        <w:t>Status: Akt obowiązujący </w:t>
      </w:r>
    </w:p>
    <w:p>
      <w:pPr>
        <w:pStyle w:val="NormalStyle"/>
      </w:pPr>
      <w:r>
        <w:t>Wersja od: 13 września 2023r. </w:t>
      </w:r>
    </w:p>
    <w:p>
      <w:pPr>
        <w:spacing w:after="0"/>
        <w:ind w:left="0"/>
        <w:jc w:val="left"/>
        <w:textAlignment w:val="auto"/>
      </w:pPr>
      <w:r>
        <w:br/>
      </w:r>
    </w:p>
    <w:p>
      <w:pPr>
        <w:spacing w:after="0"/>
        <w:ind w:left="0"/>
        <w:jc w:val="left"/>
        <w:textAlignment w:val="auto"/>
      </w:pPr>
      <w:r>
        <w:rPr>
          <w:rFonts w:ascii="Times New Roman"/>
          <w:b/>
          <w:i w:val="false"/>
          <w:color w:val="000000"/>
          <w:sz w:val="24"/>
          <w:lang w:val="pl-PL"/>
        </w:rPr>
        <w:t>Wejście w życie:</w:t>
      </w:r>
    </w:p>
    <w:p>
      <w:pPr>
        <w:spacing w:after="150"/>
        <w:ind w:left="0"/>
        <w:jc w:val="left"/>
        <w:textAlignment w:val="auto"/>
      </w:pPr>
      <w:r>
        <w:rPr>
          <w:rFonts w:ascii="Times New Roman"/>
          <w:b w:val="false"/>
          <w:i w:val="false"/>
          <w:color w:val="000000"/>
          <w:sz w:val="24"/>
          <w:lang w:val="pl-PL"/>
        </w:rPr>
        <w:t>28 września 2023 r.</w:t>
      </w:r>
    </w:p>
    <w:p>
      <w:pPr>
        <w:spacing w:after="0"/>
        <w:ind w:left="0"/>
        <w:jc w:val="left"/>
        <w:textAlignment w:val="auto"/>
      </w:pPr>
    </w:p>
    <w:p>
      <w:pPr>
        <w:numPr>
          <w:ilvl w:val="0"/>
          <w:numId w:val="1"/>
        </w:numPr>
        <w:spacing w:after="0"/>
        <w:ind w:left="0"/>
        <w:jc w:val="left"/>
        <w:textAlignment w:val="auto"/>
      </w:pPr>
    </w:p>
    <w:p>
      <w:pPr>
        <w:spacing w:after="0"/>
        <w:ind w:left="0"/>
        <w:jc w:val="left"/>
        <w:textAlignment w:val="auto"/>
      </w:pPr>
      <w:r>
        <w:br/>
      </w:r>
    </w:p>
    <w:p>
      <w:pPr>
        <w:spacing w:before="60" w:after="0"/>
        <w:ind w:left="0"/>
        <w:jc w:val="center"/>
        <w:textAlignment w:val="auto"/>
      </w:pPr>
      <w:r>
        <w:rPr>
          <w:rFonts w:ascii="Times New Roman"/>
          <w:b/>
          <w:i w:val="false"/>
          <w:color w:val="000000"/>
          <w:sz w:val="24"/>
          <w:lang w:val="pl-PL"/>
        </w:rPr>
        <w:t>ROZPORZĄDZENIE</w:t>
      </w:r>
    </w:p>
    <w:p>
      <w:pPr>
        <w:spacing w:after="0"/>
        <w:ind w:left="0"/>
        <w:jc w:val="center"/>
        <w:textAlignment w:val="auto"/>
      </w:pPr>
      <w:r>
        <w:rPr>
          <w:rFonts w:ascii="Times New Roman"/>
          <w:b/>
          <w:i w:val="false"/>
          <w:color w:val="000000"/>
          <w:sz w:val="24"/>
          <w:lang w:val="pl-PL"/>
        </w:rPr>
        <w:t>RADY MINISTRÓW</w:t>
      </w:r>
    </w:p>
    <w:p>
      <w:pPr>
        <w:spacing w:before="80" w:after="0"/>
        <w:ind w:left="0"/>
        <w:jc w:val="center"/>
        <w:textAlignment w:val="auto"/>
      </w:pPr>
      <w:r>
        <w:rPr>
          <w:rFonts w:ascii="Times New Roman"/>
          <w:b/>
          <w:i w:val="false"/>
          <w:color w:val="000000"/>
          <w:sz w:val="24"/>
          <w:lang w:val="pl-PL"/>
        </w:rPr>
        <w:t>z dnia 6 września 2023 r.</w:t>
      </w:r>
    </w:p>
    <w:p>
      <w:pPr>
        <w:spacing w:before="80" w:after="0"/>
        <w:ind w:left="0"/>
        <w:jc w:val="center"/>
        <w:textAlignment w:val="auto"/>
      </w:pPr>
      <w:r>
        <w:rPr>
          <w:rFonts w:ascii="Times New Roman"/>
          <w:b/>
          <w:i w:val="false"/>
          <w:color w:val="000000"/>
          <w:sz w:val="24"/>
          <w:lang w:val="pl-PL"/>
        </w:rPr>
        <w:t>w sprawie procedury "Niebieskie Karty" oraz wzorów formularzy "Niebieska Karta"</w:t>
      </w:r>
    </w:p>
    <w:p>
      <w:pPr>
        <w:spacing w:before="80" w:after="240"/>
        <w:ind w:left="0"/>
        <w:jc w:val="center"/>
        <w:textAlignment w:val="auto"/>
      </w:pPr>
      <w:r>
        <w:rPr>
          <w:rFonts w:ascii="Times New Roman"/>
          <w:b w:val="false"/>
          <w:i w:val="false"/>
          <w:color w:val="000000"/>
          <w:sz w:val="24"/>
          <w:lang w:val="pl-PL"/>
        </w:rPr>
        <w:t xml:space="preserve">Na podstawie </w:t>
      </w:r>
      <w:r>
        <w:rPr>
          <w:rFonts w:ascii="Times New Roman"/>
          <w:b w:val="false"/>
          <w:i w:val="false"/>
          <w:color w:val="1b1b1b"/>
          <w:sz w:val="24"/>
          <w:lang w:val="pl-PL"/>
        </w:rPr>
        <w:t>art. 9d ust. 5</w:t>
      </w:r>
      <w:r>
        <w:rPr>
          <w:rFonts w:ascii="Times New Roman"/>
          <w:b w:val="false"/>
          <w:i w:val="false"/>
          <w:color w:val="000000"/>
          <w:sz w:val="24"/>
          <w:lang w:val="pl-PL"/>
        </w:rPr>
        <w:t xml:space="preserve"> ustawy z dnia 29 lipca 2005 r. o przeciwdziałaniu przemocy domowej (Dz. U. z 2021 r. poz. 1249 oraz z 2023 r. poz. 289, 535 i 1606) zarządza się, co następuje:</w:t>
      </w:r>
    </w:p>
    <w:p>
      <w:pPr>
        <w:spacing w:before="26" w:after="0"/>
        <w:ind w:left="0"/>
        <w:jc w:val="left"/>
        <w:textAlignment w:val="auto"/>
      </w:pPr>
      <w:r>
        <w:rPr>
          <w:rFonts w:ascii="Times New Roman"/>
          <w:b/>
          <w:i w:val="false"/>
          <w:color w:val="000000"/>
          <w:sz w:val="24"/>
          <w:lang w:val="pl-PL"/>
        </w:rPr>
        <w:t>§  1. </w:t>
      </w:r>
      <w:r>
        <w:rPr>
          <w:rFonts w:ascii="Times New Roman"/>
          <w:b w:val="false"/>
          <w:i w:val="false"/>
          <w:color w:val="000000"/>
          <w:sz w:val="24"/>
          <w:lang w:val="pl-PL"/>
        </w:rPr>
        <w:t>Rozporządzenie określa: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procedurę "Niebieskie Karty", zwaną dalej "procedurą";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wzory formularzy "Niebieska Karta", wypełnianych przez przedstawicieli podmiotów realizujących procedurę.</w:t>
      </w:r>
    </w:p>
    <w:p>
      <w:pPr>
        <w:spacing w:before="26" w:after="0"/>
        <w:ind w:left="0"/>
        <w:jc w:val="left"/>
        <w:textAlignment w:val="auto"/>
      </w:pPr>
      <w:r>
        <w:rPr>
          <w:rFonts w:ascii="Times New Roman"/>
          <w:b/>
          <w:i w:val="false"/>
          <w:color w:val="000000"/>
          <w:sz w:val="24"/>
          <w:lang w:val="pl-PL"/>
        </w:rPr>
        <w:t>§  2. </w:t>
      </w:r>
    </w:p>
    <w:p>
      <w:pPr>
        <w:spacing w:before="26"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Wszczęcie procedury następuje z chwilą wypełnienia formularza "Niebieska Karta - A" w przypadku uzasadnionego podejrzenia stosowania przemocy domowej lub zgłoszenia dokonanego przez świadka przemocy domowej.</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 xml:space="preserve">Formularz, o którym mowa w ust. 1, wypełniają osoby będące przedstawicielami podmiotów wymienionych w </w:t>
      </w:r>
      <w:r>
        <w:rPr>
          <w:rFonts w:ascii="Times New Roman"/>
          <w:b w:val="false"/>
          <w:i w:val="false"/>
          <w:color w:val="1b1b1b"/>
          <w:sz w:val="24"/>
          <w:lang w:val="pl-PL"/>
        </w:rPr>
        <w:t>art. 9a ust. 11-11d</w:t>
      </w:r>
      <w:r>
        <w:rPr>
          <w:rFonts w:ascii="Times New Roman"/>
          <w:b w:val="false"/>
          <w:i w:val="false"/>
          <w:color w:val="000000"/>
          <w:sz w:val="24"/>
          <w:lang w:val="pl-PL"/>
        </w:rPr>
        <w:t xml:space="preserve"> ustawy z dnia 29 lipca 2005 r. o przeciwdziałaniu przemocy domowej, zwanej dalej "ustawą".</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 xml:space="preserve">Procedurą są obejmowane osoby wymienione w </w:t>
      </w:r>
      <w:r>
        <w:rPr>
          <w:rFonts w:ascii="Times New Roman"/>
          <w:b w:val="false"/>
          <w:i w:val="false"/>
          <w:color w:val="1b1b1b"/>
          <w:sz w:val="24"/>
          <w:lang w:val="pl-PL"/>
        </w:rPr>
        <w:t>art. 2 ust. 1 pkt 2</w:t>
      </w:r>
      <w:r>
        <w:rPr>
          <w:rFonts w:ascii="Times New Roman"/>
          <w:b w:val="false"/>
          <w:i w:val="false"/>
          <w:color w:val="000000"/>
          <w:sz w:val="24"/>
          <w:lang w:val="pl-PL"/>
        </w:rPr>
        <w:t xml:space="preserve"> i </w:t>
      </w:r>
      <w:r>
        <w:rPr>
          <w:rFonts w:ascii="Times New Roman"/>
          <w:b w:val="false"/>
          <w:i w:val="false"/>
          <w:color w:val="1b1b1b"/>
          <w:sz w:val="24"/>
          <w:lang w:val="pl-PL"/>
        </w:rPr>
        <w:t>3</w:t>
      </w:r>
      <w:r>
        <w:rPr>
          <w:rFonts w:ascii="Times New Roman"/>
          <w:b w:val="false"/>
          <w:i w:val="false"/>
          <w:color w:val="000000"/>
          <w:sz w:val="24"/>
          <w:lang w:val="pl-PL"/>
        </w:rPr>
        <w:t xml:space="preserve"> ustawy.</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W formularzu "Niebieska Karta - A" wskazuje się wszystkie osoby doznające przemocy domowej i wszystkie osoby stosujące przemoc domową.</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Wypełnienie formularza "Niebieska Karta - A" następuje w obecności pełnoletniej osoby doznającej przemocy domowej.</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Jeżeli wypełnienie formularza "Niebieska Karta - A" nie jest możliwe z powodu nieobecności pełnoletniej osoby doznającej przemocy domowej, jej stanu zdrowia lub ze względu na zagrożenie jej życia lub zdrowia, wypełnienie formularza "Niebieska Karta - A" następuje niezwłocznie po nawiązaniu bezpośredniego kontaktu z tą osobą lub po ustaniu przyczyny uniemożliwiającej jego wypełnienie.</w:t>
      </w:r>
    </w:p>
    <w:p>
      <w:pPr>
        <w:spacing w:before="26" w:after="0"/>
        <w:ind w:left="0"/>
        <w:jc w:val="left"/>
        <w:textAlignment w:val="auto"/>
      </w:pPr>
      <w:r>
        <w:rPr>
          <w:rFonts w:ascii="Times New Roman"/>
          <w:b w:val="false"/>
          <w:i w:val="false"/>
          <w:color w:val="000000"/>
          <w:sz w:val="24"/>
          <w:lang w:val="pl-PL"/>
        </w:rPr>
        <w:t>7. </w:t>
      </w:r>
      <w:r>
        <w:rPr>
          <w:rFonts w:ascii="Times New Roman"/>
          <w:b w:val="false"/>
          <w:i w:val="false"/>
          <w:color w:val="000000"/>
          <w:sz w:val="24"/>
          <w:lang w:val="pl-PL"/>
        </w:rPr>
        <w:t>Wzór formularza "Niebieska Karta - A" jest określony w załączniku nr 1 do rozporządzenia.</w:t>
      </w:r>
    </w:p>
    <w:p>
      <w:pPr>
        <w:spacing w:before="26" w:after="0"/>
        <w:ind w:left="0"/>
        <w:jc w:val="left"/>
        <w:textAlignment w:val="auto"/>
      </w:pPr>
      <w:r>
        <w:rPr>
          <w:rFonts w:ascii="Times New Roman"/>
          <w:b/>
          <w:i w:val="false"/>
          <w:color w:val="000000"/>
          <w:sz w:val="24"/>
          <w:lang w:val="pl-PL"/>
        </w:rPr>
        <w:t>§  3. </w:t>
      </w:r>
    </w:p>
    <w:p>
      <w:pPr>
        <w:spacing w:before="26"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Osoba wszczynająca procedurę podejmuje działania interwencyjne mające na celu zapewnienie bezpieczeństwa osobie doznającej przemocy domowej.</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Działania, o których mowa w ust. 1, polegają w szczególności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zapobieżeniu zagrożenia dla życia lub zdrowia osoby doznającej przemocy domowej, w tym informowaniu Policji lub Żandarmerii Wojskowej o okolicznościach uzasadniających zastosowanie </w:t>
      </w:r>
      <w:r>
        <w:rPr>
          <w:rFonts w:ascii="Times New Roman"/>
          <w:b w:val="false"/>
          <w:i w:val="false"/>
          <w:color w:val="1b1b1b"/>
          <w:sz w:val="24"/>
          <w:lang w:val="pl-PL"/>
        </w:rPr>
        <w:t>art. 15aa</w:t>
      </w:r>
      <w:r>
        <w:rPr>
          <w:rFonts w:ascii="Times New Roman"/>
          <w:b w:val="false"/>
          <w:i w:val="false"/>
          <w:color w:val="000000"/>
          <w:sz w:val="24"/>
          <w:lang w:val="pl-PL"/>
        </w:rPr>
        <w:t xml:space="preserve"> i </w:t>
      </w:r>
      <w:r>
        <w:rPr>
          <w:rFonts w:ascii="Times New Roman"/>
          <w:b w:val="false"/>
          <w:i w:val="false"/>
          <w:color w:val="1b1b1b"/>
          <w:sz w:val="24"/>
          <w:lang w:val="pl-PL"/>
        </w:rPr>
        <w:t>art. 15aaa</w:t>
      </w:r>
      <w:r>
        <w:rPr>
          <w:rFonts w:ascii="Times New Roman"/>
          <w:b w:val="false"/>
          <w:i w:val="false"/>
          <w:color w:val="000000"/>
          <w:sz w:val="24"/>
          <w:lang w:val="pl-PL"/>
        </w:rPr>
        <w:t xml:space="preserve"> ustawy z dnia 6 kwietnia 1990 r. o Policji (Dz. U. z 2023 r. poz. 171, z późn. zm. </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 a w przypadku żołnierzy pełniących czynną służbę wojskową - </w:t>
      </w:r>
      <w:r>
        <w:rPr>
          <w:rFonts w:ascii="Times New Roman"/>
          <w:b w:val="false"/>
          <w:i w:val="false"/>
          <w:color w:val="1b1b1b"/>
          <w:sz w:val="24"/>
          <w:lang w:val="pl-PL"/>
        </w:rPr>
        <w:t>art. 18a</w:t>
      </w:r>
      <w:r>
        <w:rPr>
          <w:rFonts w:ascii="Times New Roman"/>
          <w:b w:val="false"/>
          <w:i w:val="false"/>
          <w:color w:val="000000"/>
          <w:sz w:val="24"/>
          <w:lang w:val="pl-PL"/>
        </w:rPr>
        <w:t xml:space="preserve"> i </w:t>
      </w:r>
      <w:r>
        <w:rPr>
          <w:rFonts w:ascii="Times New Roman"/>
          <w:b w:val="false"/>
          <w:i w:val="false"/>
          <w:color w:val="1b1b1b"/>
          <w:sz w:val="24"/>
          <w:lang w:val="pl-PL"/>
        </w:rPr>
        <w:t>art. 18aa</w:t>
      </w:r>
      <w:r>
        <w:rPr>
          <w:rFonts w:ascii="Times New Roman"/>
          <w:b w:val="false"/>
          <w:i w:val="false"/>
          <w:color w:val="000000"/>
          <w:sz w:val="24"/>
          <w:lang w:val="pl-PL"/>
        </w:rPr>
        <w:t xml:space="preserve"> ustawy z dnia 24 sierpnia 2001 r. o Żandarmerii Wojskowej i wojskowych organach porządkowych (Dz. U. z 2023 r. poz. 1266 i 1860);</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udzieleniu osobie doznającej przemocy domowej pierwszej pomocy przedmedycznej lub zapewnieniu pomocy medycznej;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zaspokojeniu podstawowych potrzeb, w tym udzieleniu wsparcia i poradnictwa, w szczególności od przedstawicieli jednostek organizacyjnych pomocy społecznej, specjalistycznych ośrodków wsparcia dla osób doznających przemocy domowej, organizacji pozarządowych i stowarzyszeń działających na rzecz osób doznających przemocy domowej na podstawie </w:t>
      </w:r>
      <w:r>
        <w:rPr>
          <w:rFonts w:ascii="Times New Roman"/>
          <w:b w:val="false"/>
          <w:i w:val="false"/>
          <w:color w:val="1b1b1b"/>
          <w:sz w:val="24"/>
          <w:lang w:val="pl-PL"/>
        </w:rPr>
        <w:t>ustawy</w:t>
      </w:r>
      <w:r>
        <w:rPr>
          <w:rFonts w:ascii="Times New Roman"/>
          <w:b w:val="false"/>
          <w:i w:val="false"/>
          <w:color w:val="000000"/>
          <w:sz w:val="24"/>
          <w:lang w:val="pl-PL"/>
        </w:rPr>
        <w:t xml:space="preserve"> z dnia 24 kwietnia 2003 r. o działalności pożytku publicznego i o wolontariacie (Dz. U. z 2023 r. poz. 571).</w:t>
      </w:r>
    </w:p>
    <w:p>
      <w:pPr>
        <w:spacing w:before="26" w:after="0"/>
        <w:ind w:left="0"/>
        <w:jc w:val="left"/>
        <w:textAlignment w:val="auto"/>
      </w:pPr>
      <w:r>
        <w:rPr>
          <w:rFonts w:ascii="Times New Roman"/>
          <w:b/>
          <w:i w:val="false"/>
          <w:color w:val="000000"/>
          <w:sz w:val="24"/>
          <w:lang w:val="pl-PL"/>
        </w:rPr>
        <w:t>§  4. </w:t>
      </w:r>
    </w:p>
    <w:p>
      <w:pPr>
        <w:spacing w:before="26"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Osoba wszczynająca procedurę dokonuje wstępnej diagnozy sytuacji w związku z zaistnieniem uzasadnionego podejrzenia stosowania przemocy domowej i przeprowadza rozmowę z osobą doznającą przemocy domowej, a także, w miarę możliwości, z osobą stosującą przemoc.</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Rozmowę z osobą doznającą przemocy domowej przeprowadza się w warunkach gwarantujących swobodę wypowiedzi, poszanowanie godności oraz zapewniających bezpieczeństwo.</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Osobie doznającej przemocy domowej przekazuje się informacje w prostym, przejrzystym i przystępnym dla niej języku, z uwzględnieniem stanu i okoliczności, które mogą mieć wpływ na zdolność rozumienia i bycie rozumianym.</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W trakcie rozmowy z osobą stosującą przemoc domową informuje się ją w szczególności o prawnokarnych konsekwencjach stosowania przemocy domowej oraz wskazuje na konieczność zmiany sposobu postępowania.</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Działania, o których mowa w ust. 2 i 4, realizuje się uwzględniając warunki, czynniki i potrzeby, w tym dotyczące osób niepełnosprawnych.</w:t>
      </w:r>
    </w:p>
    <w:p>
      <w:pPr>
        <w:spacing w:before="26" w:after="0"/>
        <w:ind w:left="0"/>
        <w:jc w:val="left"/>
        <w:textAlignment w:val="auto"/>
      </w:pPr>
      <w:r>
        <w:rPr>
          <w:rFonts w:ascii="Times New Roman"/>
          <w:b/>
          <w:i w:val="false"/>
          <w:color w:val="000000"/>
          <w:sz w:val="24"/>
          <w:lang w:val="pl-PL"/>
        </w:rPr>
        <w:t>§  5. </w:t>
      </w:r>
    </w:p>
    <w:p>
      <w:pPr>
        <w:spacing w:before="26"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Jeżeli istnieje podejrzenie stosowania przemocy domowej wobec małoletniego, działania w ramach procedury przeprowadza się w obecności rodzica, opiekuna prawnego lub faktycznego.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Jeżeli istnieje podejrzenie stosowania przemocy domowej wobec pełnoletniej osoby nieporadnej ze względu na wiek, stan psychiczny lub fizyczny, działania w ramach procedury przeprowadza się w obecności opiekuna prawnego lub faktycznego lub pełnoletniej osoby przez nią wskazanej.</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 xml:space="preserve">Jeżeli istnieje podejrzenie, że osobami stosującymi przemoc domową wobec małoletniego są rodzice, opiekunowie prawni lub faktyczni, działania w ramach procedury przeprowadza się w obecności pełnoletniej osoby najbliższej w rozumieniu </w:t>
      </w:r>
      <w:r>
        <w:rPr>
          <w:rFonts w:ascii="Times New Roman"/>
          <w:b w:val="false"/>
          <w:i w:val="false"/>
          <w:color w:val="1b1b1b"/>
          <w:sz w:val="24"/>
          <w:lang w:val="pl-PL"/>
        </w:rPr>
        <w:t>art. 115 § 11</w:t>
      </w:r>
      <w:r>
        <w:rPr>
          <w:rFonts w:ascii="Times New Roman"/>
          <w:b w:val="false"/>
          <w:i w:val="false"/>
          <w:color w:val="000000"/>
          <w:sz w:val="24"/>
          <w:lang w:val="pl-PL"/>
        </w:rPr>
        <w:t xml:space="preserve"> ustawy z dnia 6 czerwca 1997 r. - Kodeks karny (Dz. U. z 2022 r. poz. 1138, z późn. zm. </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 zwanej dalej "osobą najbliższą", lub pełnoletniej osoby wskazanej przez małoletniego.</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Jeżeli istnieje podejrzenie, że osobą stosującą przemoc domową wobec pełnoletniej osoby nieporadnej, o której mowa w ust. 2, jest opiekun prawny lub faktyczny, działania w ramach procedury przeprowadza się w obecności osoby najbliższej, a w razie jej braku - w obecności innej osoby pełnoletniej przez nią wskazanej.</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Działania z udziałem osób doznających przemocy domowej, o których mowa w ust. 1 i 2, przeprowadza się, w miarę możliwości, w obecności psychologa.</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Jeżeli osoba objęta procedurą "Niebieskie Karty" nie włada językiem polskim w mowie i piśmie lub jest osobą głuchą lub niemą lub występują okoliczności, które mogą mieć wpływ na zdolność rozumienia i bycie rozumianym, członkowie grupy diagnostyczno-pomocowej występują do zespołu interdyscyplinarnego z wnioskiem o zapewnienie udziału tłumacza w czynnościach z osobą objętą procedurą.</w:t>
      </w:r>
    </w:p>
    <w:p>
      <w:pPr>
        <w:spacing w:before="26" w:after="0"/>
        <w:ind w:left="0"/>
        <w:jc w:val="left"/>
        <w:textAlignment w:val="auto"/>
      </w:pPr>
      <w:r>
        <w:rPr>
          <w:rFonts w:ascii="Times New Roman"/>
          <w:b w:val="false"/>
          <w:i w:val="false"/>
          <w:color w:val="000000"/>
          <w:sz w:val="24"/>
          <w:lang w:val="pl-PL"/>
        </w:rPr>
        <w:t>7. </w:t>
      </w:r>
      <w:r>
        <w:rPr>
          <w:rFonts w:ascii="Times New Roman"/>
          <w:b w:val="false"/>
          <w:i w:val="false"/>
          <w:color w:val="000000"/>
          <w:sz w:val="24"/>
          <w:lang w:val="pl-PL"/>
        </w:rPr>
        <w:t>Zespół interdyscyplinarny na wniosek grupy diagnostyczno-pomocowej zapewnia tłumacza lub podejmuje inne działania umożliwiające porozumienie się z osobą objętą procedurą.</w:t>
      </w:r>
    </w:p>
    <w:p>
      <w:pPr>
        <w:spacing w:before="26" w:after="0"/>
        <w:ind w:left="0"/>
        <w:jc w:val="left"/>
        <w:textAlignment w:val="auto"/>
      </w:pPr>
      <w:r>
        <w:rPr>
          <w:rFonts w:ascii="Times New Roman"/>
          <w:b w:val="false"/>
          <w:i w:val="false"/>
          <w:color w:val="000000"/>
          <w:sz w:val="24"/>
          <w:lang w:val="pl-PL"/>
        </w:rPr>
        <w:t>8. </w:t>
      </w:r>
      <w:r>
        <w:rPr>
          <w:rFonts w:ascii="Times New Roman"/>
          <w:b w:val="false"/>
          <w:i w:val="false"/>
          <w:color w:val="000000"/>
          <w:sz w:val="24"/>
          <w:lang w:val="pl-PL"/>
        </w:rPr>
        <w:t>Do tłumacza biorącego udział w czynnościach z osobą objętą procedurą art. 9c ust. 1-4 ustawy stosuje się odpowiednio.</w:t>
      </w:r>
    </w:p>
    <w:p>
      <w:pPr>
        <w:spacing w:before="26" w:after="0"/>
        <w:ind w:left="0"/>
        <w:jc w:val="left"/>
        <w:textAlignment w:val="auto"/>
      </w:pPr>
      <w:r>
        <w:rPr>
          <w:rFonts w:ascii="Times New Roman"/>
          <w:b/>
          <w:i w:val="false"/>
          <w:color w:val="000000"/>
          <w:sz w:val="24"/>
          <w:lang w:val="pl-PL"/>
        </w:rPr>
        <w:t>§  6. </w:t>
      </w:r>
    </w:p>
    <w:p>
      <w:pPr>
        <w:spacing w:before="26"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Po wypełnieniu formularza "Niebieska Karta - A" osobie doznającej przemocy domowej przekazuje się formularz "Niebieska Karta - B".</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Jeżeli osobą doznającą przemocy domowej jest małoletni, formularz "Niebieska Karta - B" przekazuje się rodzicowi, opiekunowi prawnemu lub faktycznemu, a w przypadkach, o których mowa w § 5 ust. 3 - osobie najbliższej lub pełnoletniej osobie wskazanej przez małoletniego.</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Jeżeli osobą doznającą przemocy domowej jest osoba, o której mowa w § 5 ust. 2, formularz "Niebieska Karta - B" przekazuje się opiekunowi prawnemu lub faktycznemu lub pełnoletniej osobie wskazanej przez osobę doznającą przemocy domowej, o której mowa w § 5 ust. 2, a w przypadkach, o których mowa w § 5 ust. 4 - osobie najbliższej lub pełnoletniej osobie wskazanej przez osobę doznającą przemocy domowej.</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Formularza "Niebieska Karta - B" nie przekazuje się osobie stosującej przemoc domową.</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Wzór formularza "Niebieska Karta - B" jest określony w załączniku nr 2 do rozporządzenia.</w:t>
      </w:r>
    </w:p>
    <w:p>
      <w:pPr>
        <w:spacing w:before="26" w:after="0"/>
        <w:ind w:left="0"/>
        <w:jc w:val="left"/>
        <w:textAlignment w:val="auto"/>
      </w:pPr>
      <w:r>
        <w:rPr>
          <w:rFonts w:ascii="Times New Roman"/>
          <w:b/>
          <w:i w:val="false"/>
          <w:color w:val="000000"/>
          <w:sz w:val="24"/>
          <w:lang w:val="pl-PL"/>
        </w:rPr>
        <w:t>§  7. </w:t>
      </w:r>
    </w:p>
    <w:p>
      <w:pPr>
        <w:spacing w:before="26"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Wypełniony formularz "Niebieska Karta - A" niezwłocznie, nie później niż w terminie 5 dni roboczych od dnia wszczęcia procedury, przekazuje się do zespołu interdyscyplinarnego.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Kopię wypełnionego formularza "Niebieska Karta - A" pozostawia się u wszczynającego procedurę.</w:t>
      </w:r>
    </w:p>
    <w:p>
      <w:pPr>
        <w:spacing w:before="26" w:after="0"/>
        <w:ind w:left="0"/>
        <w:jc w:val="left"/>
        <w:textAlignment w:val="auto"/>
      </w:pPr>
      <w:r>
        <w:rPr>
          <w:rFonts w:ascii="Times New Roman"/>
          <w:b/>
          <w:i w:val="false"/>
          <w:color w:val="000000"/>
          <w:sz w:val="24"/>
          <w:lang w:val="pl-PL"/>
        </w:rPr>
        <w:t>§  8. </w:t>
      </w:r>
    </w:p>
    <w:p>
      <w:pPr>
        <w:spacing w:before="26"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Formularz "Niebieska Karta - A" niezwłocznie, nie później niż w terminie 3 dni roboczych od dnia jego otrzymania, jest przekazywany grupie diagnostyczno-pomocowej.</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Pierwsze posiedzenie grupy diagnostyczno-pomocowej odbywa się niezwłocznie, nie później niż w terminie 5 dni roboczych od dnia otrzymania formularza "Niebieska Karta - A".</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Grupa diagnostyczno-pomocowa, na podstawie informacji zawartych w formularzu "Niebieska Karta - A", dokonuje diagnozy sytuacji w związku z podejrzeniem stosowania przemocy domowej oraz podejmuje działania mające na celu zapewnienie bezpieczeństwa osobie doznającej przemocy domowej i zatrzymania przemocy domowej albo rozstrzyga o braku zasadności podejmowania działań.</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Każde posiedzenie grupy diagnostyczno-pomocowej jest dokumentowane w formie protokołu.</w:t>
      </w:r>
    </w:p>
    <w:p>
      <w:pPr>
        <w:spacing w:before="26" w:after="0"/>
        <w:ind w:left="0"/>
        <w:jc w:val="left"/>
        <w:textAlignment w:val="auto"/>
      </w:pPr>
      <w:r>
        <w:rPr>
          <w:rFonts w:ascii="Times New Roman"/>
          <w:b/>
          <w:i w:val="false"/>
          <w:color w:val="000000"/>
          <w:sz w:val="24"/>
          <w:lang w:val="pl-PL"/>
        </w:rPr>
        <w:t>§  9. </w:t>
      </w:r>
    </w:p>
    <w:p>
      <w:pPr>
        <w:spacing w:before="26"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 xml:space="preserve">Jeżeli sytuacja osoby doznającej przemocy domowej lub osoby stosującej przemoc domową tego wymaga, osoby, o których mowa w </w:t>
      </w:r>
      <w:r>
        <w:rPr>
          <w:rFonts w:ascii="Times New Roman"/>
          <w:b w:val="false"/>
          <w:i w:val="false"/>
          <w:color w:val="1b1b1b"/>
          <w:sz w:val="24"/>
          <w:lang w:val="pl-PL"/>
        </w:rPr>
        <w:t>art. 9a ust. 11</w:t>
      </w:r>
      <w:r>
        <w:rPr>
          <w:rFonts w:ascii="Times New Roman"/>
          <w:b w:val="false"/>
          <w:i w:val="false"/>
          <w:color w:val="000000"/>
          <w:sz w:val="24"/>
          <w:lang w:val="pl-PL"/>
        </w:rPr>
        <w:t xml:space="preserve"> lub </w:t>
      </w:r>
      <w:r>
        <w:rPr>
          <w:rFonts w:ascii="Times New Roman"/>
          <w:b w:val="false"/>
          <w:i w:val="false"/>
          <w:color w:val="1b1b1b"/>
          <w:sz w:val="24"/>
          <w:lang w:val="pl-PL"/>
        </w:rPr>
        <w:t>11a</w:t>
      </w:r>
      <w:r>
        <w:rPr>
          <w:rFonts w:ascii="Times New Roman"/>
          <w:b w:val="false"/>
          <w:i w:val="false"/>
          <w:color w:val="000000"/>
          <w:sz w:val="24"/>
          <w:lang w:val="pl-PL"/>
        </w:rPr>
        <w:t xml:space="preserve"> ustawy, składają do zespołu interdyscyplinarnego wniosek, o którym mowa w </w:t>
      </w:r>
      <w:r>
        <w:rPr>
          <w:rFonts w:ascii="Times New Roman"/>
          <w:b w:val="false"/>
          <w:i w:val="false"/>
          <w:color w:val="1b1b1b"/>
          <w:sz w:val="24"/>
          <w:lang w:val="pl-PL"/>
        </w:rPr>
        <w:t>art. 9a ust. 12b</w:t>
      </w:r>
      <w:r>
        <w:rPr>
          <w:rFonts w:ascii="Times New Roman"/>
          <w:b w:val="false"/>
          <w:i w:val="false"/>
          <w:color w:val="000000"/>
          <w:sz w:val="24"/>
          <w:lang w:val="pl-PL"/>
        </w:rPr>
        <w:t xml:space="preserve"> ustawy, dotyczący poszerzenia składu grupy diagnostyczno-pomocowej o osoby, o których mowa w </w:t>
      </w:r>
      <w:r>
        <w:rPr>
          <w:rFonts w:ascii="Times New Roman"/>
          <w:b w:val="false"/>
          <w:i w:val="false"/>
          <w:color w:val="1b1b1b"/>
          <w:sz w:val="24"/>
          <w:lang w:val="pl-PL"/>
        </w:rPr>
        <w:t>art. 9a ust. 11b-11d</w:t>
      </w:r>
      <w:r>
        <w:rPr>
          <w:rFonts w:ascii="Times New Roman"/>
          <w:b w:val="false"/>
          <w:i w:val="false"/>
          <w:color w:val="000000"/>
          <w:sz w:val="24"/>
          <w:lang w:val="pl-PL"/>
        </w:rPr>
        <w:t xml:space="preserve"> lub </w:t>
      </w:r>
      <w:r>
        <w:rPr>
          <w:rFonts w:ascii="Times New Roman"/>
          <w:b w:val="false"/>
          <w:i w:val="false"/>
          <w:color w:val="1b1b1b"/>
          <w:sz w:val="24"/>
          <w:lang w:val="pl-PL"/>
        </w:rPr>
        <w:t>12</w:t>
      </w:r>
      <w:r>
        <w:rPr>
          <w:rFonts w:ascii="Times New Roman"/>
          <w:b w:val="false"/>
          <w:i w:val="false"/>
          <w:color w:val="000000"/>
          <w:sz w:val="24"/>
          <w:lang w:val="pl-PL"/>
        </w:rPr>
        <w:t xml:space="preserve"> ustawy, a także o osoby, o których mowa w art. 9a ust. 12c ustawy.</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 xml:space="preserve">Zespół interdyscyplinarny niezwłocznie, nie później niż w terminie 3 dni roboczych od dnia otrzymania wniosku, o którym mowa w ust. 1, występuje do podmiotów zatrudniających osoby, o których mowa w </w:t>
      </w:r>
      <w:r>
        <w:rPr>
          <w:rFonts w:ascii="Times New Roman"/>
          <w:b w:val="false"/>
          <w:i w:val="false"/>
          <w:color w:val="1b1b1b"/>
          <w:sz w:val="24"/>
          <w:lang w:val="pl-PL"/>
        </w:rPr>
        <w:t>art. 9a ust. 11b-11d</w:t>
      </w:r>
      <w:r>
        <w:rPr>
          <w:rFonts w:ascii="Times New Roman"/>
          <w:b w:val="false"/>
          <w:i w:val="false"/>
          <w:color w:val="000000"/>
          <w:sz w:val="24"/>
          <w:lang w:val="pl-PL"/>
        </w:rPr>
        <w:t xml:space="preserve"> lub </w:t>
      </w:r>
      <w:r>
        <w:rPr>
          <w:rFonts w:ascii="Times New Roman"/>
          <w:b w:val="false"/>
          <w:i w:val="false"/>
          <w:color w:val="1b1b1b"/>
          <w:sz w:val="24"/>
          <w:lang w:val="pl-PL"/>
        </w:rPr>
        <w:t>12</w:t>
      </w:r>
      <w:r>
        <w:rPr>
          <w:rFonts w:ascii="Times New Roman"/>
          <w:b w:val="false"/>
          <w:i w:val="false"/>
          <w:color w:val="000000"/>
          <w:sz w:val="24"/>
          <w:lang w:val="pl-PL"/>
        </w:rPr>
        <w:t xml:space="preserve"> ustawy, a także osoby, o których mowa w </w:t>
      </w:r>
      <w:r>
        <w:rPr>
          <w:rFonts w:ascii="Times New Roman"/>
          <w:b w:val="false"/>
          <w:i w:val="false"/>
          <w:color w:val="1b1b1b"/>
          <w:sz w:val="24"/>
          <w:lang w:val="pl-PL"/>
        </w:rPr>
        <w:t>art. 9a ust. 12c</w:t>
      </w:r>
      <w:r>
        <w:rPr>
          <w:rFonts w:ascii="Times New Roman"/>
          <w:b w:val="false"/>
          <w:i w:val="false"/>
          <w:color w:val="000000"/>
          <w:sz w:val="24"/>
          <w:lang w:val="pl-PL"/>
        </w:rPr>
        <w:t xml:space="preserve"> ustawy, o wytypowanie przedstawiciela do udziału w pracach grupy diagnostyczno-pomocowej.</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Wytypowane osoby, o których mowa w ust. 2, nie mogą odmówić udziału w pracach grupy diagnostyczno-pomocowej.</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Wniosek, o którym mowa w ust. 1, może zostać złożony w formie pisemnej na każdym etapie działań grupy diagnostyczno-pomocowej.</w:t>
      </w:r>
    </w:p>
    <w:p>
      <w:pPr>
        <w:spacing w:before="26" w:after="0"/>
        <w:ind w:left="0"/>
        <w:jc w:val="left"/>
        <w:textAlignment w:val="auto"/>
      </w:pPr>
      <w:r>
        <w:rPr>
          <w:rFonts w:ascii="Times New Roman"/>
          <w:b/>
          <w:i w:val="false"/>
          <w:color w:val="000000"/>
          <w:sz w:val="24"/>
          <w:lang w:val="pl-PL"/>
        </w:rPr>
        <w:t>§  10. </w:t>
      </w:r>
    </w:p>
    <w:p>
      <w:pPr>
        <w:spacing w:before="26"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Jeżeli wszczęcie procedury nastąpiło pod nieobecność osoby stosującej przemoc domową, o wszczęciu procedury grupa diagnostyczno-pomocowa zawiadamia tę osobę.</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Zawiadomienie, o którym mowa w ust. 1, następuje niezwłocznie, nie później niż w terminie 3 dni roboczych od dnia otrzymania formularza "Niebieska Karta - A" i wymaga udokumentowania.</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Zawiadomienie, o którym mowa w ust. 1, może nastąpić w dowolnej formie i w dowolny sposób, również za pośrednictwem środków komunikacji elektronicznej umożliwiających porozumiewanie się na odległość.</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Jeżeli zawiadomienie osoby stosującej przemoc domową o wszczęciu procedury jest niemożliwe lub znacznie utrudnione, grupa diagnostyczno-pomocowa dokumentuje fakt braku możliwości zawiadomienia wskazując jego przyczyny.</w:t>
      </w:r>
    </w:p>
    <w:p>
      <w:pPr>
        <w:spacing w:before="26" w:after="0"/>
        <w:ind w:left="0"/>
        <w:jc w:val="left"/>
        <w:textAlignment w:val="auto"/>
      </w:pPr>
      <w:r>
        <w:rPr>
          <w:rFonts w:ascii="Times New Roman"/>
          <w:b/>
          <w:i w:val="false"/>
          <w:color w:val="000000"/>
          <w:sz w:val="24"/>
          <w:lang w:val="pl-PL"/>
        </w:rPr>
        <w:t>§  11. </w:t>
      </w:r>
    </w:p>
    <w:p>
      <w:pPr>
        <w:spacing w:before="26"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Na posiedzeniu grupa diagnostyczno-pomocowa w obecności zaproszonej osoby doznającej przemocy domowej dokonuje analizy sytuacji w związku z podejrzeniem stosowania przemocy domowej i we współpracy z osobą doznającą przemocy domowej, opracowuje indywidualny plan pomocy albo rozstrzyga o braku zasadności podejmowania działań.</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Grupa diagnostyczno-pomocowa, na podstawie ustaleń zawartych w wypełnionym formularzu "Niebieska Karta - C", podejmuje działania mające na celu zapewnienie bezpieczeństwa osobie doznającej przemocy domowej i poprawę jej sytuacji życiowej.</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Indywidualny plan pomocy obejmuje ogół działań podejmowanych przez grupę diagnostyczno-pomocową na rzecz i wspólnie z osobą doznającą przemocy domowej, w celu poprawy sytuacji życiowej tej osoby oraz w jej środowisku domowym.</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Indywidualny plan pomocy może ulegać zmianie, uwzględniając potrzeby, zasoby i sytuację osoby doznającej przemocy domowej, co zostaje odnotowane w formularzu "Niebieska Karta - C".</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Niestawiennictwo osoby doznającej przemocy domowej nie wstrzymuje prac grupy diagnostyczno-pomocowej.</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Na posiedzenie grupy diagnostyczno-pomocowej nie zaprasza się małoletniego.</w:t>
      </w:r>
    </w:p>
    <w:p>
      <w:pPr>
        <w:spacing w:before="26" w:after="0"/>
        <w:ind w:left="0"/>
        <w:jc w:val="left"/>
        <w:textAlignment w:val="auto"/>
      </w:pPr>
      <w:r>
        <w:rPr>
          <w:rFonts w:ascii="Times New Roman"/>
          <w:b w:val="false"/>
          <w:i w:val="false"/>
          <w:color w:val="000000"/>
          <w:sz w:val="24"/>
          <w:lang w:val="pl-PL"/>
        </w:rPr>
        <w:t>7. </w:t>
      </w:r>
      <w:r>
        <w:rPr>
          <w:rFonts w:ascii="Times New Roman"/>
          <w:b w:val="false"/>
          <w:i w:val="false"/>
          <w:color w:val="000000"/>
          <w:sz w:val="24"/>
          <w:lang w:val="pl-PL"/>
        </w:rPr>
        <w:t>Wzór formularza "Niebieska Karta - C" jest określony w załączniku nr 3 do rozporządzenia.</w:t>
      </w:r>
    </w:p>
    <w:p>
      <w:pPr>
        <w:spacing w:before="26" w:after="0"/>
        <w:ind w:left="0"/>
        <w:jc w:val="left"/>
        <w:textAlignment w:val="auto"/>
      </w:pPr>
      <w:r>
        <w:rPr>
          <w:rFonts w:ascii="Times New Roman"/>
          <w:b/>
          <w:i w:val="false"/>
          <w:color w:val="000000"/>
          <w:sz w:val="24"/>
          <w:lang w:val="pl-PL"/>
        </w:rPr>
        <w:t>§  12. </w:t>
      </w:r>
    </w:p>
    <w:p>
      <w:pPr>
        <w:spacing w:before="26"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Grupa diagnostyczno-pomocowa, po wezwaniu osoby stosującej przemoc domową, w jej obecności, dokonuje analizy sytuacji w związku z podejrzeniem stosowania przemocy domowej i na podstawie informacji zawartych w formularzu "Niebieska Karta - D" dokonuje ustaleń dotyczących dalszych działań, zobowiązując osobę stosującą przemoc domową do ich realizacji w celu zmiany jej postępowania.</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Wzór formularza "Niebieska Karta - D" jest określony w załączniku nr 4 do rozporządzenia.</w:t>
      </w:r>
    </w:p>
    <w:p>
      <w:pPr>
        <w:spacing w:before="26" w:after="0"/>
        <w:ind w:left="0"/>
        <w:jc w:val="left"/>
        <w:textAlignment w:val="auto"/>
      </w:pPr>
      <w:r>
        <w:rPr>
          <w:rFonts w:ascii="Times New Roman"/>
          <w:b/>
          <w:i w:val="false"/>
          <w:color w:val="000000"/>
          <w:sz w:val="24"/>
          <w:lang w:val="pl-PL"/>
        </w:rPr>
        <w:t>§  13. </w:t>
      </w:r>
    </w:p>
    <w:p>
      <w:pPr>
        <w:spacing w:before="26"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 xml:space="preserve">Jeżeli w trakcie działań realizowanych w ramach procedury zachodzi podejrzenie, że osoba stosująca przemoc domową dopuściła się po raz kolejny stosowania przemocy domowej, osoby, o których mowa w </w:t>
      </w:r>
      <w:r>
        <w:rPr>
          <w:rFonts w:ascii="Times New Roman"/>
          <w:b w:val="false"/>
          <w:i w:val="false"/>
          <w:color w:val="1b1b1b"/>
          <w:sz w:val="24"/>
          <w:lang w:val="pl-PL"/>
        </w:rPr>
        <w:t>art. 9a ust. 11-11d</w:t>
      </w:r>
      <w:r>
        <w:rPr>
          <w:rFonts w:ascii="Times New Roman"/>
          <w:b w:val="false"/>
          <w:i w:val="false"/>
          <w:color w:val="000000"/>
          <w:sz w:val="24"/>
          <w:lang w:val="pl-PL"/>
        </w:rPr>
        <w:t xml:space="preserve"> ustawy, wypełniają formularz "Niebieska Karta - A" w zakresie niezbędnym do udokumentowania nowego zdarzenia i przesyłają go do zespołu interdyscyplinarnego.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Jeżeli zachodzi podejrzenie, że osoba stosująca przemoc domową dopuściła się po raz kolejny stosowania przemocy domowej w trakcie działań realizowanych przez grupę diagnostyczno-pomocową, grupa diagnostyczno-pomocowa wypełnia formularz "Niebieska Karta - C" w zakresie niezbędnym do udokumentowania nowego zdarzenia.</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W przypadku, o którym mowa w ust. 1, przepisy § 8 stosuje się odpowiednio.</w:t>
      </w:r>
    </w:p>
    <w:p>
      <w:pPr>
        <w:spacing w:before="26" w:after="0"/>
        <w:ind w:left="0"/>
        <w:jc w:val="left"/>
        <w:textAlignment w:val="auto"/>
      </w:pPr>
      <w:r>
        <w:rPr>
          <w:rFonts w:ascii="Times New Roman"/>
          <w:b/>
          <w:i w:val="false"/>
          <w:color w:val="000000"/>
          <w:sz w:val="24"/>
          <w:lang w:val="pl-PL"/>
        </w:rPr>
        <w:t>§  14. </w:t>
      </w:r>
    </w:p>
    <w:p>
      <w:pPr>
        <w:spacing w:before="26"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Wszystkie działania realizowane w ramach procedury są dokumentowane w formie pisemnej.</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 xml:space="preserve">Osobom, o których mowa w </w:t>
      </w:r>
      <w:r>
        <w:rPr>
          <w:rFonts w:ascii="Times New Roman"/>
          <w:b w:val="false"/>
          <w:i w:val="false"/>
          <w:color w:val="1b1b1b"/>
          <w:sz w:val="24"/>
          <w:lang w:val="pl-PL"/>
        </w:rPr>
        <w:t>art. 9c ust. 1 pkt 1</w:t>
      </w:r>
      <w:r>
        <w:rPr>
          <w:rFonts w:ascii="Times New Roman"/>
          <w:b w:val="false"/>
          <w:i w:val="false"/>
          <w:color w:val="000000"/>
          <w:sz w:val="24"/>
          <w:lang w:val="pl-PL"/>
        </w:rPr>
        <w:t xml:space="preserve"> i </w:t>
      </w:r>
      <w:r>
        <w:rPr>
          <w:rFonts w:ascii="Times New Roman"/>
          <w:b w:val="false"/>
          <w:i w:val="false"/>
          <w:color w:val="1b1b1b"/>
          <w:sz w:val="24"/>
          <w:lang w:val="pl-PL"/>
        </w:rPr>
        <w:t>3</w:t>
      </w:r>
      <w:r>
        <w:rPr>
          <w:rFonts w:ascii="Times New Roman"/>
          <w:b w:val="false"/>
          <w:i w:val="false"/>
          <w:color w:val="000000"/>
          <w:sz w:val="24"/>
          <w:lang w:val="pl-PL"/>
        </w:rPr>
        <w:t xml:space="preserve"> ustawy, przysługuje dostęp do dokumentacji wytworzonej w ramach realizowanej procedury w zakresie ich dotyczącym, po uzyskaniu zgody zespołu interdyscyplinarnego, w siedzibie ośrodka pomocy społecznej lub centrum usług społecznych, który zapewnia obsługę organizacyjno-techniczną zespołu interdyscyplinarnego.</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W przypadku podejrzenia popełnienia przestępstwa oryginały dokumentów, o których mowa w ust. 1, są przekazywane organom właściwym do prowadzenia postępowania przygotowawczego.</w:t>
      </w:r>
    </w:p>
    <w:p>
      <w:pPr>
        <w:spacing w:before="26" w:after="0"/>
        <w:ind w:left="0"/>
        <w:jc w:val="left"/>
        <w:textAlignment w:val="auto"/>
      </w:pPr>
      <w:r>
        <w:rPr>
          <w:rFonts w:ascii="Times New Roman"/>
          <w:b/>
          <w:i w:val="false"/>
          <w:color w:val="000000"/>
          <w:sz w:val="24"/>
          <w:lang w:val="pl-PL"/>
        </w:rPr>
        <w:t>§  15. </w:t>
      </w:r>
    </w:p>
    <w:p>
      <w:pPr>
        <w:spacing w:before="26"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 ramach procedury grupa diagnostyczno-pomocowa: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dokonuje oceny sytuacji domowej, potrzeb i zasobów osoby doznającej przemocy domowej oraz osoby stosującej przemoc domową;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udziela pomocy osobie doznającej przemocy domowej;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opracowuje indywidualny plan pomocy dla osoby doznającej przemocy domowej i jej środowiska domowego, który zawiera propozycje działań pomocowych;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podejmuje działania w stosunku do osoby stosującej przemoc domową w celu zaprzestania stosowania tego rodzaju zachowań;</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przekazuje osobie stosującej przemoc domową informacje w szczególności o prawnokarnych konsekwencjach stosowania przemocy domowej;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przekazuje osobie stosującej przemoc domową informacje o koniecznych do zrealizowania działaniach w celu zaprzestania stosowania przemocy domowej;</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wnioskuje do zespołu interdyscyplinarnego o skierowanie osoby stosującej przemoc domową do udziału w programach korekcyjno-edukacyjnych dla osób stosujących przemoc domową lub w programach psychologiczno-terapeutycznych dla osób stosujących przemoc domową;</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motywuje osobę stosującą przemoc domową do udziału w programach korekcyjno-edukacyjnych dla osób stosujących przemoc domową oraz programach psychologiczno-terapeutycznych dla osób stosujących przemoc domową;</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przeprowadza z osobą stosującą przemoc domową rozmowę ukierunkowaną na wskazanie zagrożeń wynikających z nadużywania alkoholu, środków odurzających, substancji psychotropowych lub leków;</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rozstrzyga o braku zasadności podejmowania działań.</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Rozstrzygnięcie, o którym mowa w ust. 1 pkt 7, jest podejmowane jednogłośnie. W przypadku braku zgodności członków grupy diagnostyczno-pomocowej, odrębne wnioski członków grupy diagnostyczno-pomocowej wraz z uzasadnieniem są przekazywane do zespołu interdyscyplinarnego, który podejmuje decyzje w sprawie skierowania osoby stosującej przemoc domową do udziału w programie korekcyjno-edukacyjnym albo programie psychologiczno-terapeutycznym większością głosów.</w:t>
      </w:r>
    </w:p>
    <w:p>
      <w:pPr>
        <w:spacing w:before="26" w:after="0"/>
        <w:ind w:left="0"/>
        <w:jc w:val="left"/>
        <w:textAlignment w:val="auto"/>
      </w:pPr>
      <w:r>
        <w:rPr>
          <w:rFonts w:ascii="Times New Roman"/>
          <w:b/>
          <w:i w:val="false"/>
          <w:color w:val="000000"/>
          <w:sz w:val="24"/>
          <w:lang w:val="pl-PL"/>
        </w:rPr>
        <w:t>§  16. </w:t>
      </w:r>
      <w:r>
        <w:rPr>
          <w:rFonts w:ascii="Times New Roman"/>
          <w:b w:val="false"/>
          <w:i w:val="false"/>
          <w:color w:val="000000"/>
          <w:sz w:val="24"/>
          <w:lang w:val="pl-PL"/>
        </w:rPr>
        <w:t>W ramach procedury pracownik socjalny jednostki organizacyjnej pomocy społecznej lub centrum usług społecznych: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diagnozuje sytuację, potrzeby i zasoby osoby doznającej przemocy domowej;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udziela kompleksowych informacji 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możliwościach uzyskania pomocy, w szczególności psychologicznej, prawnej, socjalnej i pedagogicznej, oraz wsparcia, w tym o instytucjach i podmiotach świadczących specjalistyczną pomoc na rzecz osób doznających przemocy domowej,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formach pomocy małoletnim doznającym przemocy domowej oraz o instytucjach i podmiotach świadczących tę pomoc,</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możliwościach podjęcia dalszych działań mających na celu poprawę sytuacji osoby doznającej przemocy domowej;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organizuje niezwłocznie dostęp do pomocy medycznej, jeżeli wymaga tego stan zdrowia osoby doznającej przemocy domowej;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zapewnia osobie doznającej przemocy domowej, w zależności od potrzeb, schronienie w całodobowej placówce świadczącej pomoc, w tym w szczególności w specjalistycznym ośrodku wsparcia dla osób doznających przemocy domowej lub innej placówce, w tym prowadzonej przez organizacje pozarządowe i stowarzyszenia, działające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24 kwietnia 2003 r. o działalności pożytku publicznego i o wolontariacie;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bierze udział w opracowaniu przez grupę diagnostyczno-pomocową indywidualnego planu pomocy;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podejmuje działania mające na celu zapobieganie zagrożeniom mogącym występować w środowisku domowym, w szczególności składa systematyczne wizyty sprawdzające stan bezpieczeństwa osoby doznającej przemocy domowej, w zależności od potrzeb określonych przez grupę diagnostyczno-pomocową;</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może prowadzić rozmowy w szczególności o prawnokarnych konsekwencjach stosowania przemocy domowej oraz informować osobę stosującą przemoc domową o możliwościach podjęcia leczenia lub terapii, udziału w programach korekcyjno-edukacyjnych lub programach psychologiczno-terapeutycznych dla osób stosujących przemoc domową.</w:t>
      </w:r>
    </w:p>
    <w:p>
      <w:pPr>
        <w:spacing w:before="26" w:after="0"/>
        <w:ind w:left="0"/>
        <w:jc w:val="left"/>
        <w:textAlignment w:val="auto"/>
      </w:pPr>
      <w:r>
        <w:rPr>
          <w:rFonts w:ascii="Times New Roman"/>
          <w:b/>
          <w:i w:val="false"/>
          <w:color w:val="000000"/>
          <w:sz w:val="24"/>
          <w:lang w:val="pl-PL"/>
        </w:rPr>
        <w:t>§  17. </w:t>
      </w:r>
      <w:r>
        <w:rPr>
          <w:rFonts w:ascii="Times New Roman"/>
          <w:b w:val="false"/>
          <w:i w:val="false"/>
          <w:color w:val="000000"/>
          <w:sz w:val="24"/>
          <w:lang w:val="pl-PL"/>
        </w:rPr>
        <w:t>W ramach procedury funkcjonariusz Policji: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udziela osobie doznającej przemocy domowej niezbędnej pomocy, w tym udziela pierwszej pomocy przedmedycznej;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organizuje niezwłocznie dostęp do pomocy medycznej, jeżeli wymaga tego stan zdrowia osoby doznającej przemocy domowej;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podejmuje, w razie potrzeby, inne niezbędne czynności zapewniające ochronę życia, zdrowia i mienia osób doznających przemocy domowej, włącznie z zastosowaniem na podstawie odrębnych przepisów w stosunku do osoby stosującej przemoc domową środków przymusu bezpośredniego i zatrzymania;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przeprowadza, o ile jest to możliwe, z osobą stosującą przemoc domową rozmowę, w szczególności o odpowiedzialności karnej za znęcanie się fizyczne lub psychiczne nad </w:t>
      </w:r>
      <w:r>
        <w:rPr>
          <w:rFonts w:ascii="Times New Roman"/>
          <w:b w:val="false"/>
          <w:i w:val="false"/>
          <w:color w:val="1b1b1b"/>
          <w:sz w:val="24"/>
          <w:lang w:val="pl-PL"/>
        </w:rPr>
        <w:t>osobą najbliższą</w:t>
      </w:r>
      <w:r>
        <w:rPr>
          <w:rFonts w:ascii="Times New Roman"/>
          <w:b w:val="false"/>
          <w:i w:val="false"/>
          <w:color w:val="000000"/>
          <w:sz w:val="24"/>
          <w:lang w:val="pl-PL"/>
        </w:rPr>
        <w:t xml:space="preserve"> lub inną osobą pozostającą w stałym lub przemijającym stosunku zależności od osoby stosującej przemoc domową albo nad małoletnim lub pełnoletnią osobą nieporadną ze względu na jej wiek lub stan zdrowia, oraz wzywa osobę stosującą przemoc domową do zachowania zgodnego z prawem i zasadami współżycia społecznego;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przeprowadza na miejscu zdarzenia, w przypadkach niecierpiących zwłoki, czynności procesowe w niezbędnym zakresie, w granicach koniecznych do zabezpieczenia śladów i dowodów przestępstwa;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podejmuje działania mające na celu zapobieganie zagrożeniom mogącym występować w środowisku domowym, w szczególności składa systematyczne wizyty sprawdzające stan bezpieczeństwa osoby doznającej przemocy domowej, w zależności od potrzeb określonych przez grupę diagnostyczno-pomocową;</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dokonuje niezbędnych ustaleń w zakresie udziału osoby stosującej przemoc domową w programach korekcyjno-edukacyjnych dla osób stosujących przemoc domową lub w programach psychologiczno-terapeutycznych dla osób stosujących przemoc domową;</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informuje, w formie notatki urzędowej, zespół interdyscyplinarny o działaniach podejmowanych wobec osoby doznającej przemocy domowej oraz osoby stosującej przemoc domową, w tym w szczególności o udziale w programach korekcyjno-edukacyjnych dla osób stosujących przemoc domową lub w programach psychologiczno-terapeutycznych dla osób stosujących przemoc domową.</w:t>
      </w:r>
    </w:p>
    <w:p>
      <w:pPr>
        <w:spacing w:before="26" w:after="240"/>
        <w:ind w:left="0"/>
        <w:jc w:val="left"/>
        <w:textAlignment w:val="auto"/>
      </w:pPr>
      <w:r>
        <w:rPr>
          <w:rFonts w:ascii="Times New Roman"/>
          <w:b/>
          <w:i w:val="false"/>
          <w:color w:val="000000"/>
          <w:sz w:val="24"/>
          <w:lang w:val="pl-PL"/>
        </w:rPr>
        <w:t>§  18. </w:t>
      </w:r>
      <w:r>
        <w:rPr>
          <w:rFonts w:ascii="Times New Roman"/>
          <w:b w:val="false"/>
          <w:i w:val="false"/>
          <w:color w:val="000000"/>
          <w:sz w:val="24"/>
          <w:lang w:val="pl-PL"/>
        </w:rPr>
        <w:t>Spotkania z osobami doznającymi przemocy domowej oraz osobami stosującymi przemoc domową nie mogą być organizowane w sposób umożliwiający im wzajemny kontakt.</w:t>
      </w:r>
    </w:p>
    <w:p>
      <w:pPr>
        <w:spacing w:before="26" w:after="0"/>
        <w:ind w:left="0"/>
        <w:jc w:val="left"/>
        <w:textAlignment w:val="auto"/>
      </w:pPr>
      <w:r>
        <w:rPr>
          <w:rFonts w:ascii="Times New Roman"/>
          <w:b/>
          <w:i w:val="false"/>
          <w:color w:val="000000"/>
          <w:sz w:val="24"/>
          <w:lang w:val="pl-PL"/>
        </w:rPr>
        <w:t>§  19. </w:t>
      </w:r>
    </w:p>
    <w:p>
      <w:pPr>
        <w:spacing w:before="26"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 xml:space="preserve">Odstąpienie od dalszych działań, o których mowa w </w:t>
      </w:r>
      <w:r>
        <w:rPr>
          <w:rFonts w:ascii="Times New Roman"/>
          <w:b w:val="false"/>
          <w:i w:val="false"/>
          <w:color w:val="1b1b1b"/>
          <w:sz w:val="24"/>
          <w:lang w:val="pl-PL"/>
        </w:rPr>
        <w:t>art. 9b ust. 15</w:t>
      </w:r>
      <w:r>
        <w:rPr>
          <w:rFonts w:ascii="Times New Roman"/>
          <w:b w:val="false"/>
          <w:i w:val="false"/>
          <w:color w:val="000000"/>
          <w:sz w:val="24"/>
          <w:lang w:val="pl-PL"/>
        </w:rPr>
        <w:t xml:space="preserve"> ustawy, wymaga udokumentowania w formie protokołu.</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Protokół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dane dotyczące osób, wobec których były realizowane działania;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datę rozpoczęcia procedury oraz datę odstąpienia od dalszych działań;</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skład grupy diagnostyczno-pomocowej;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opis podjętych działań;</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okoliczności uzasadniające odstąpienie;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podpisy członków grupy diagnostyczno-pomocowej uczestniczących w posiedzeniu.</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Grupa diagnostyczno-pomocowa przekazuje do zespołu interdyscyplinarnego protokół, o którym mowa w ust. 2, niezwłocznie, nie później niż w terminie 7 dni roboczych od dnia sporządzenia.</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O odstąpieniu od dalszych działań zawiadamia się osobę doznającą przemocy domowej oraz osobę stosującą przemoc domową.</w:t>
      </w:r>
    </w:p>
    <w:p>
      <w:pPr>
        <w:spacing w:before="26" w:after="0"/>
        <w:ind w:left="0"/>
        <w:jc w:val="left"/>
        <w:textAlignment w:val="auto"/>
      </w:pPr>
      <w:r>
        <w:rPr>
          <w:rFonts w:ascii="Times New Roman"/>
          <w:b/>
          <w:i w:val="false"/>
          <w:color w:val="000000"/>
          <w:sz w:val="24"/>
          <w:lang w:val="pl-PL"/>
        </w:rPr>
        <w:t>§  20. </w:t>
      </w:r>
    </w:p>
    <w:p>
      <w:pPr>
        <w:spacing w:before="26"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 xml:space="preserve">Zakończenie procedury, o której mowa w </w:t>
      </w:r>
      <w:r>
        <w:rPr>
          <w:rFonts w:ascii="Times New Roman"/>
          <w:b w:val="false"/>
          <w:i w:val="false"/>
          <w:color w:val="1b1b1b"/>
          <w:sz w:val="24"/>
          <w:lang w:val="pl-PL"/>
        </w:rPr>
        <w:t>art. 9h ust. 1</w:t>
      </w:r>
      <w:r>
        <w:rPr>
          <w:rFonts w:ascii="Times New Roman"/>
          <w:b w:val="false"/>
          <w:i w:val="false"/>
          <w:color w:val="000000"/>
          <w:sz w:val="24"/>
          <w:lang w:val="pl-PL"/>
        </w:rPr>
        <w:t xml:space="preserve"> ustawy, wymaga udokumentowania w formie protokołu, który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dane dotyczące osób, wobec których była realizowana procedura;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datę rozpoczęcia i zakończenia procedury;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skład grupy diagnostyczno-pomocowej;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opis podjętych w ramach procedury działań;</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przesłanki uzasadniające zakończenie procedury;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podpisy członków grupy diagnostyczno-pomocowej uczestniczących w czynności.</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Grupa diagnostyczno-pomocowa przekazuje do zespołu interdyscyplinarnego protokół, o którym mowa w ust. 1, niezwłocznie, nie później niż w terminie 7 dni roboczych od dnia sporządzenia.</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O zakończeniu procedury informuje się osobę doznającą przemocy domowej oraz osobę stosującą przemoc.</w:t>
      </w:r>
    </w:p>
    <w:p>
      <w:pPr>
        <w:spacing w:before="26" w:after="0"/>
        <w:ind w:left="0"/>
        <w:jc w:val="left"/>
        <w:textAlignment w:val="auto"/>
      </w:pPr>
      <w:r>
        <w:rPr>
          <w:rFonts w:ascii="Times New Roman"/>
          <w:b/>
          <w:i w:val="false"/>
          <w:color w:val="000000"/>
          <w:sz w:val="24"/>
          <w:lang w:val="pl-PL"/>
        </w:rPr>
        <w:t>§  21. </w:t>
      </w:r>
    </w:p>
    <w:p>
      <w:pPr>
        <w:spacing w:before="26"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 xml:space="preserve">Po zakończeniu procedury grupa diagnostyczno-pomocowa podejmuje działania monitorujące, o których mowa w </w:t>
      </w:r>
      <w:r>
        <w:rPr>
          <w:rFonts w:ascii="Times New Roman"/>
          <w:b w:val="false"/>
          <w:i w:val="false"/>
          <w:color w:val="1b1b1b"/>
          <w:sz w:val="24"/>
          <w:lang w:val="pl-PL"/>
        </w:rPr>
        <w:t>art. 9h ust. 3</w:t>
      </w:r>
      <w:r>
        <w:rPr>
          <w:rFonts w:ascii="Times New Roman"/>
          <w:b w:val="false"/>
          <w:i w:val="false"/>
          <w:color w:val="000000"/>
          <w:sz w:val="24"/>
          <w:lang w:val="pl-PL"/>
        </w:rPr>
        <w:t xml:space="preserve"> ustawy.</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Działania, o których mowa w ust. 1, polegają w szczególności na składaniu wizyt sprawdzających stan bezpieczeństwa w związku z zakończoną procedurą, poradnictwie i udzielaniu wsparcia.</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Rodzaj, formę oraz sposób realizacji działań, o których mowa w ust. 1, określa grupa diagnostyczno-pomocowa.</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Działania, o których mowa w ust. 1, w szczególnie uzasadnionych przypadkach, w szczególności gdy składanie wizyt sprawdzających, o których mowa w ust. 2, jest niemożliwe lub znacznie utrudnione, mogą być prowadzone za pośrednictwem środków komunikacji elektronicznej umożliwiających porozumiewanie się na odległość.</w:t>
      </w:r>
    </w:p>
    <w:p>
      <w:pPr>
        <w:spacing w:before="26" w:after="240"/>
        <w:ind w:left="0"/>
        <w:jc w:val="left"/>
        <w:textAlignment w:val="auto"/>
      </w:pPr>
      <w:r>
        <w:rPr>
          <w:rFonts w:ascii="Times New Roman"/>
          <w:b/>
          <w:i w:val="false"/>
          <w:color w:val="000000"/>
          <w:sz w:val="24"/>
          <w:lang w:val="pl-PL"/>
        </w:rPr>
        <w:t>§  22. </w:t>
      </w:r>
      <w:r>
        <w:rPr>
          <w:rFonts w:ascii="Times New Roman"/>
          <w:b w:val="false"/>
          <w:i w:val="false"/>
          <w:color w:val="000000"/>
          <w:sz w:val="24"/>
          <w:lang w:val="pl-PL"/>
        </w:rPr>
        <w:t>Do procedury "Niebieskie Karty" wszczętej i niezakończonej przed dniem wejścia w życie niniejszego rozporządzenia stosuje się przepisy dotychczasowe.</w:t>
      </w:r>
    </w:p>
    <w:p>
      <w:pPr>
        <w:spacing w:before="26" w:after="240"/>
        <w:ind w:left="0"/>
        <w:jc w:val="left"/>
        <w:textAlignment w:val="auto"/>
      </w:pPr>
      <w:r>
        <w:rPr>
          <w:rFonts w:ascii="Times New Roman"/>
          <w:b/>
          <w:i w:val="false"/>
          <w:color w:val="000000"/>
          <w:sz w:val="24"/>
          <w:lang w:val="pl-PL"/>
        </w:rPr>
        <w:t>§  23. </w:t>
      </w:r>
      <w:r>
        <w:rPr>
          <w:rFonts w:ascii="Times New Roman"/>
          <w:b w:val="false"/>
          <w:i w:val="false"/>
          <w:color w:val="000000"/>
          <w:sz w:val="24"/>
          <w:lang w:val="pl-PL"/>
        </w:rPr>
        <w:t xml:space="preserve">Rozporządzenie wchodzi w życie po upływie 14 dni od dnia ogłoszenia. </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w:t>
      </w:r>
    </w:p>
    <w:p>
      <w:pPr>
        <w:spacing w:after="0"/>
        <w:ind w:left="0"/>
        <w:jc w:val="left"/>
        <w:textAlignment w:val="auto"/>
      </w:pPr>
    </w:p>
    <w:p>
      <w:pPr>
        <w:spacing w:before="169" w:after="0"/>
        <w:ind w:left="0"/>
        <w:jc w:val="center"/>
        <w:textAlignment w:val="auto"/>
      </w:pPr>
      <w:r>
        <w:rPr>
          <w:rFonts w:ascii="Times New Roman"/>
          <w:b/>
          <w:i w:val="false"/>
          <w:color w:val="000000"/>
          <w:sz w:val="24"/>
          <w:lang w:val="pl-PL"/>
        </w:rPr>
        <w:t>ZAŁĄCZNIKI</w:t>
      </w:r>
    </w:p>
    <w:p>
      <w:pPr>
        <w:spacing w:after="0"/>
        <w:ind w:left="0"/>
        <w:jc w:val="left"/>
        <w:textAlignment w:val="auto"/>
      </w:pPr>
    </w:p>
    <w:p>
      <w:pPr>
        <w:spacing w:before="169" w:after="0"/>
        <w:ind w:left="0"/>
        <w:jc w:val="center"/>
        <w:textAlignment w:val="auto"/>
      </w:pPr>
      <w:r>
        <w:rPr>
          <w:rFonts w:ascii="Times New Roman"/>
          <w:b/>
          <w:i w:val="false"/>
          <w:color w:val="000000"/>
          <w:sz w:val="24"/>
          <w:lang w:val="pl-PL"/>
        </w:rPr>
        <w:t>ZAŁĄCZNIK Nr  1</w:t>
      </w:r>
    </w:p>
    <w:p>
      <w:pPr>
        <w:spacing w:after="0"/>
        <w:ind w:left="0"/>
        <w:jc w:val="center"/>
        <w:textAlignment w:val="auto"/>
      </w:pPr>
      <w:r>
        <w:rPr>
          <w:rFonts w:ascii="Times New Roman"/>
          <w:b w:val="false"/>
          <w:i w:val="false"/>
          <w:color w:val="000000"/>
          <w:sz w:val="24"/>
          <w:lang w:val="pl-PL"/>
        </w:rPr>
        <w:t>WZÓR</w:t>
      </w:r>
    </w:p>
    <w:p>
      <w:pPr>
        <w:spacing w:before="25" w:after="0"/>
        <w:ind w:left="0"/>
        <w:jc w:val="center"/>
        <w:textAlignment w:val="auto"/>
      </w:pPr>
      <w:r>
        <w:rPr>
          <w:rFonts w:ascii="Times New Roman"/>
          <w:b/>
          <w:i w:val="false"/>
          <w:color w:val="000000"/>
          <w:sz w:val="24"/>
          <w:lang w:val="pl-PL"/>
        </w:rPr>
        <w:t>"NIEBIESKA KARTA - A"</w:t>
      </w:r>
    </w:p>
    <w:p>
      <w:pPr>
        <w:spacing w:before="25" w:after="0"/>
        <w:ind w:left="0"/>
        <w:jc w:val="left"/>
        <w:textAlignment w:val="auto"/>
      </w:pPr>
      <w:r>
        <w:rPr>
          <w:rFonts w:ascii="Times New Roman"/>
          <w:b w:val="false"/>
          <w:i w:val="false"/>
          <w:color w:val="1b1b1b"/>
          <w:sz w:val="24"/>
          <w:lang w:val="pl-PL"/>
        </w:rPr>
        <w:t>wzór</w:t>
      </w:r>
    </w:p>
    <w:p>
      <w:pPr>
        <w:spacing w:after="0"/>
        <w:ind w:left="0"/>
        <w:jc w:val="left"/>
        <w:textAlignment w:val="auto"/>
      </w:pPr>
    </w:p>
    <w:p>
      <w:pPr>
        <w:spacing w:before="169" w:after="0"/>
        <w:ind w:left="0"/>
        <w:jc w:val="center"/>
        <w:textAlignment w:val="auto"/>
      </w:pPr>
      <w:r>
        <w:rPr>
          <w:rFonts w:ascii="Times New Roman"/>
          <w:b/>
          <w:i w:val="false"/>
          <w:color w:val="000000"/>
          <w:sz w:val="24"/>
          <w:lang w:val="pl-PL"/>
        </w:rPr>
        <w:t>ZAŁĄCZNIK Nr  2</w:t>
      </w:r>
    </w:p>
    <w:p>
      <w:pPr>
        <w:spacing w:after="0"/>
        <w:ind w:left="0"/>
        <w:jc w:val="center"/>
        <w:textAlignment w:val="auto"/>
      </w:pPr>
      <w:r>
        <w:rPr>
          <w:rFonts w:ascii="Times New Roman"/>
          <w:b w:val="false"/>
          <w:i w:val="false"/>
          <w:color w:val="000000"/>
          <w:sz w:val="24"/>
          <w:lang w:val="pl-PL"/>
        </w:rPr>
        <w:t>WZÓR</w:t>
      </w:r>
    </w:p>
    <w:p>
      <w:pPr>
        <w:spacing w:before="25" w:after="0"/>
        <w:ind w:left="0"/>
        <w:jc w:val="center"/>
        <w:textAlignment w:val="auto"/>
      </w:pPr>
      <w:r>
        <w:rPr>
          <w:rFonts w:ascii="Times New Roman"/>
          <w:b/>
          <w:i w:val="false"/>
          <w:color w:val="000000"/>
          <w:sz w:val="24"/>
          <w:lang w:val="pl-PL"/>
        </w:rPr>
        <w:t>"NIEBIESKA KARTA - B"</w:t>
      </w:r>
    </w:p>
    <w:p>
      <w:pPr>
        <w:spacing w:before="25" w:after="0"/>
        <w:ind w:left="0"/>
        <w:jc w:val="left"/>
        <w:textAlignment w:val="auto"/>
      </w:pPr>
      <w:r>
        <w:rPr>
          <w:rFonts w:ascii="Times New Roman"/>
          <w:b w:val="false"/>
          <w:i w:val="false"/>
          <w:color w:val="1b1b1b"/>
          <w:sz w:val="24"/>
          <w:lang w:val="pl-PL"/>
        </w:rPr>
        <w:t>wzór</w:t>
      </w:r>
    </w:p>
    <w:p>
      <w:pPr>
        <w:spacing w:after="0"/>
        <w:ind w:left="0"/>
        <w:jc w:val="left"/>
        <w:textAlignment w:val="auto"/>
      </w:pPr>
    </w:p>
    <w:p>
      <w:pPr>
        <w:spacing w:before="169" w:after="0"/>
        <w:ind w:left="0"/>
        <w:jc w:val="center"/>
        <w:textAlignment w:val="auto"/>
      </w:pPr>
      <w:r>
        <w:rPr>
          <w:rFonts w:ascii="Times New Roman"/>
          <w:b/>
          <w:i w:val="false"/>
          <w:color w:val="000000"/>
          <w:sz w:val="24"/>
          <w:lang w:val="pl-PL"/>
        </w:rPr>
        <w:t>ZAŁĄCZNIK Nr  3</w:t>
      </w:r>
    </w:p>
    <w:p>
      <w:pPr>
        <w:spacing w:after="0"/>
        <w:ind w:left="0"/>
        <w:jc w:val="center"/>
        <w:textAlignment w:val="auto"/>
      </w:pPr>
      <w:r>
        <w:rPr>
          <w:rFonts w:ascii="Times New Roman"/>
          <w:b w:val="false"/>
          <w:i w:val="false"/>
          <w:color w:val="000000"/>
          <w:sz w:val="24"/>
          <w:lang w:val="pl-PL"/>
        </w:rPr>
        <w:t>WZÓR</w:t>
      </w:r>
    </w:p>
    <w:p>
      <w:pPr>
        <w:spacing w:before="25" w:after="0"/>
        <w:ind w:left="0"/>
        <w:jc w:val="center"/>
        <w:textAlignment w:val="auto"/>
      </w:pPr>
      <w:r>
        <w:rPr>
          <w:rFonts w:ascii="Times New Roman"/>
          <w:b/>
          <w:i w:val="false"/>
          <w:color w:val="000000"/>
          <w:sz w:val="24"/>
          <w:lang w:val="pl-PL"/>
        </w:rPr>
        <w:t>"NIEBIESKA KARTA - C"</w:t>
      </w:r>
    </w:p>
    <w:p>
      <w:pPr>
        <w:spacing w:before="25" w:after="0"/>
        <w:ind w:left="0"/>
        <w:jc w:val="left"/>
        <w:textAlignment w:val="auto"/>
      </w:pPr>
      <w:r>
        <w:rPr>
          <w:rFonts w:ascii="Times New Roman"/>
          <w:b w:val="false"/>
          <w:i w:val="false"/>
          <w:color w:val="1b1b1b"/>
          <w:sz w:val="24"/>
          <w:lang w:val="pl-PL"/>
        </w:rPr>
        <w:t>wzór</w:t>
      </w:r>
    </w:p>
    <w:p>
      <w:pPr>
        <w:spacing w:after="0"/>
        <w:ind w:left="0"/>
        <w:jc w:val="left"/>
        <w:textAlignment w:val="auto"/>
      </w:pPr>
    </w:p>
    <w:p>
      <w:pPr>
        <w:spacing w:before="169" w:after="0"/>
        <w:ind w:left="0"/>
        <w:jc w:val="center"/>
        <w:textAlignment w:val="auto"/>
      </w:pPr>
      <w:r>
        <w:rPr>
          <w:rFonts w:ascii="Times New Roman"/>
          <w:b/>
          <w:i w:val="false"/>
          <w:color w:val="000000"/>
          <w:sz w:val="24"/>
          <w:lang w:val="pl-PL"/>
        </w:rPr>
        <w:t>ZAŁĄCZNIK Nr  4</w:t>
      </w:r>
    </w:p>
    <w:p>
      <w:pPr>
        <w:spacing w:after="0"/>
        <w:ind w:left="0"/>
        <w:jc w:val="center"/>
        <w:textAlignment w:val="auto"/>
      </w:pPr>
      <w:r>
        <w:rPr>
          <w:rFonts w:ascii="Times New Roman"/>
          <w:b w:val="false"/>
          <w:i w:val="false"/>
          <w:color w:val="000000"/>
          <w:sz w:val="24"/>
          <w:lang w:val="pl-PL"/>
        </w:rPr>
        <w:t>WZÓR</w:t>
      </w:r>
    </w:p>
    <w:p>
      <w:pPr>
        <w:spacing w:before="25" w:after="0"/>
        <w:ind w:left="0"/>
        <w:jc w:val="center"/>
        <w:textAlignment w:val="auto"/>
      </w:pPr>
      <w:r>
        <w:rPr>
          <w:rFonts w:ascii="Times New Roman"/>
          <w:b/>
          <w:i w:val="false"/>
          <w:color w:val="000000"/>
          <w:sz w:val="24"/>
          <w:lang w:val="pl-PL"/>
        </w:rPr>
        <w:t>"NIEBIESKA KARTA - D"</w:t>
      </w:r>
    </w:p>
    <w:p>
      <w:pPr>
        <w:spacing w:before="25" w:after="0"/>
        <w:ind w:left="0"/>
        <w:jc w:val="left"/>
        <w:textAlignment w:val="auto"/>
      </w:pPr>
      <w:r>
        <w:rPr>
          <w:rFonts w:ascii="Times New Roman"/>
          <w:b w:val="false"/>
          <w:i w:val="false"/>
          <w:color w:val="1b1b1b"/>
          <w:sz w:val="24"/>
          <w:lang w:val="pl-PL"/>
        </w:rPr>
        <w:t>wzór</w:t>
      </w:r>
    </w:p>
    <w:p>
      <w:pPr>
        <w:spacing w:before="250" w:after="0"/>
        <w:ind w:left="0"/>
        <w:jc w:val="left"/>
        <w:textAlignment w:val="auto"/>
      </w:pPr>
      <w:r>
        <w:rPr>
          <w:rFonts w:ascii="Times New Roman"/>
          <w:b w:val="false"/>
          <w:i w:val="false"/>
          <w:color w:val="000000"/>
          <w:sz w:val="24"/>
          <w:vertAlign w:val="superscript"/>
          <w:lang w:val="pl-PL"/>
        </w:rPr>
        <w:t>1</w:t>
      </w:r>
      <w:r>
        <w:rPr>
          <w:rFonts w:ascii="Times New Roman"/>
          <w:b w:val="false"/>
          <w:i w:val="false"/>
          <w:color w:val="000000"/>
          <w:sz w:val="24"/>
          <w:lang w:val="pl-PL"/>
        </w:rPr>
        <w:t> Zmiany tekstu jednolitego wymienionej ustawy zostały ogłoszone w Dz. U. z 2022 r. poz. 2600 oraz z 2023 r. poz. 185, 240, 289, 347, 535, 641, 1088 i 1860.</w:t>
      </w:r>
    </w:p>
    <w:p>
      <w:pPr>
        <w:spacing w:after="0"/>
        <w:ind w:left="0"/>
        <w:jc w:val="left"/>
        <w:textAlignment w:val="auto"/>
      </w:pPr>
      <w:r>
        <w:rPr>
          <w:rFonts w:ascii="Times New Roman"/>
          <w:b w:val="false"/>
          <w:i w:val="false"/>
          <w:color w:val="000000"/>
          <w:sz w:val="24"/>
          <w:vertAlign w:val="superscript"/>
          <w:lang w:val="pl-PL"/>
        </w:rPr>
        <w:t>2</w:t>
      </w:r>
      <w:r>
        <w:rPr>
          <w:rFonts w:ascii="Times New Roman"/>
          <w:b w:val="false"/>
          <w:i w:val="false"/>
          <w:color w:val="000000"/>
          <w:sz w:val="24"/>
          <w:lang w:val="pl-PL"/>
        </w:rPr>
        <w:t> Zmiany tekstu jednolitego wymienionej ustawy zostały ogłoszone w Dz. U. z 2022 r. poz. 1726, 1855, 2339 i 2600 oraz z 2023 r. poz. 289, 818, 852, 1234, 1834 i 1860.</w:t>
      </w:r>
    </w:p>
    <w:p>
      <w:pPr>
        <w:spacing w:after="0"/>
        <w:ind w:left="0"/>
        <w:jc w:val="left"/>
        <w:textAlignment w:val="auto"/>
      </w:pP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Niniejsze rozporządzenie było poprzedzone </w:t>
      </w:r>
      <w:r>
        <w:rPr>
          <w:rFonts w:ascii="Times New Roman"/>
          <w:b w:val="false"/>
          <w:i w:val="false"/>
          <w:color w:val="1b1b1b"/>
          <w:sz w:val="24"/>
          <w:lang w:val="pl-PL"/>
        </w:rPr>
        <w:t>rozporządzeniem</w:t>
      </w:r>
      <w:r>
        <w:rPr>
          <w:rFonts w:ascii="Times New Roman"/>
          <w:b w:val="false"/>
          <w:i w:val="false"/>
          <w:color w:val="000000"/>
          <w:sz w:val="24"/>
          <w:lang w:val="pl-PL"/>
        </w:rPr>
        <w:t xml:space="preserve"> Rady Ministrów z dnia 13 września 2011 r. w sprawie procedury "Niebieskie Karty" oraz wzorów formularzy "Niebieska Karta" (Dz. U. poz. 1245), które traci moc z dniem wejścia w życie niniejszego rozporządzenia na podstawie </w:t>
      </w:r>
      <w:r>
        <w:rPr>
          <w:rFonts w:ascii="Times New Roman"/>
          <w:b w:val="false"/>
          <w:i w:val="false"/>
          <w:color w:val="1b1b1b"/>
          <w:sz w:val="24"/>
          <w:lang w:val="pl-PL"/>
        </w:rPr>
        <w:t>art. 22 ust. 1</w:t>
      </w:r>
      <w:r>
        <w:rPr>
          <w:rFonts w:ascii="Times New Roman"/>
          <w:b w:val="false"/>
          <w:i w:val="false"/>
          <w:color w:val="000000"/>
          <w:sz w:val="24"/>
          <w:lang w:val="pl-PL"/>
        </w:rPr>
        <w:t xml:space="preserve"> ustawy z dnia 9 marca 2023 r. o zmianie ustawy o przeciwdziałaniu przemocy w rodzinie oraz niektórych innych ustaw (Dz. U. z 2023 r. poz. 535).</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1">
    <w:multiLevelType w:val="multilevel"/>
    <w:lvl w:ilvl="0">
      <w:start w:val="1"/>
      <w:numFmt w:val="none"/>
      <w:lvlText w:val=""/>
      <w:lvlJc w:val="left"/>
      <w:pPr>
        <w:ind w:left="0"/>
      </w:pPr>
    </w:lvl>
  </w:abstract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rPr>
      <w:rFonts w:ascii="Times New Roman" w:hAnsi="Times New Roman" w:eastAsia="Times New Roman" w:cs="Times New Roman"/>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